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B9" w:rsidRDefault="00B627B9" w:rsidP="00B627B9">
      <w:pPr>
        <w:ind w:left="57" w:right="57"/>
        <w:mirrorIndents/>
        <w:jc w:val="center"/>
        <w:rPr>
          <w:rFonts w:eastAsia="Times New Roman" w:cs="Times New Roman"/>
          <w:b/>
          <w:bCs/>
          <w:szCs w:val="28"/>
          <w:lang w:eastAsia="es-ES"/>
        </w:rPr>
      </w:pPr>
    </w:p>
    <w:p w:rsidR="00B627B9" w:rsidRPr="00B627B9" w:rsidRDefault="00B627B9" w:rsidP="00B627B9">
      <w:pPr>
        <w:ind w:left="57" w:right="57"/>
        <w:mirrorIndents/>
        <w:jc w:val="center"/>
        <w:rPr>
          <w:rFonts w:eastAsia="Times New Roman" w:cs="Times New Roman"/>
          <w:b/>
          <w:bCs/>
          <w:szCs w:val="28"/>
          <w:lang w:eastAsia="es-ES"/>
        </w:rPr>
      </w:pPr>
      <w:r w:rsidRPr="00B627B9">
        <w:rPr>
          <w:rFonts w:eastAsia="Times New Roman" w:cs="Times New Roman"/>
          <w:b/>
          <w:bCs/>
          <w:szCs w:val="28"/>
          <w:lang w:eastAsia="es-ES"/>
        </w:rPr>
        <w:t>REPÚBLICA DE COLOMBIA</w:t>
      </w:r>
    </w:p>
    <w:p w:rsidR="00B627B9" w:rsidRPr="00B627B9" w:rsidRDefault="00B627B9" w:rsidP="00B627B9">
      <w:pPr>
        <w:ind w:left="57" w:right="57"/>
        <w:mirrorIndents/>
        <w:jc w:val="center"/>
        <w:rPr>
          <w:rFonts w:eastAsia="Times New Roman" w:cs="Times New Roman"/>
          <w:color w:val="0D0D0D" w:themeColor="text1" w:themeTint="F2"/>
          <w:szCs w:val="28"/>
          <w:lang w:eastAsia="es-ES"/>
        </w:rPr>
      </w:pPr>
      <w:r w:rsidRPr="00B627B9">
        <w:rPr>
          <w:rFonts w:eastAsia="Times New Roman" w:cs="Times New Roman"/>
          <w:b/>
          <w:szCs w:val="28"/>
          <w:lang w:eastAsia="es-ES"/>
        </w:rPr>
        <w:object w:dxaOrig="204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1.25pt" o:ole="" fillcolor="window">
            <v:imagedata r:id="rId7" o:title=""/>
          </v:shape>
          <o:OLEObject Type="Embed" ProgID="Word.Picture.8" ShapeID="_x0000_i1025" DrawAspect="Content" ObjectID="_1595748618" r:id="rId8"/>
        </w:object>
      </w:r>
    </w:p>
    <w:p w:rsidR="00B627B9" w:rsidRPr="00B627B9" w:rsidRDefault="00B627B9" w:rsidP="00B627B9">
      <w:pPr>
        <w:ind w:left="57" w:right="57"/>
        <w:mirrorIndents/>
        <w:jc w:val="center"/>
        <w:rPr>
          <w:rFonts w:eastAsia="Times New Roman" w:cs="Times New Roman"/>
          <w:color w:val="0D0D0D" w:themeColor="text1" w:themeTint="F2"/>
          <w:szCs w:val="28"/>
          <w:lang w:eastAsia="es-ES"/>
        </w:rPr>
      </w:pPr>
      <w:r w:rsidRPr="00B627B9">
        <w:rPr>
          <w:rFonts w:eastAsia="Times New Roman" w:cs="Times New Roman"/>
          <w:b/>
          <w:bCs/>
          <w:color w:val="0D0D0D" w:themeColor="text1" w:themeTint="F2"/>
          <w:szCs w:val="28"/>
          <w:lang w:eastAsia="es-ES"/>
        </w:rPr>
        <w:t>CORTE CONSTITUCIONAL</w:t>
      </w:r>
    </w:p>
    <w:p w:rsidR="00B627B9" w:rsidRPr="00B627B9" w:rsidRDefault="00B627B9" w:rsidP="00B627B9">
      <w:pPr>
        <w:jc w:val="center"/>
        <w:rPr>
          <w:rFonts w:cs="Times New Roman"/>
          <w:b/>
          <w:color w:val="0D0D0D" w:themeColor="text1" w:themeTint="F2"/>
          <w:szCs w:val="28"/>
        </w:rPr>
      </w:pPr>
      <w:r w:rsidRPr="00B627B9">
        <w:rPr>
          <w:rFonts w:cs="Times New Roman"/>
          <w:b/>
          <w:color w:val="0D0D0D" w:themeColor="text1" w:themeTint="F2"/>
          <w:szCs w:val="28"/>
        </w:rPr>
        <w:t>SALA ESPECIAL DE SEGUIMIENTO SENTENCIA T-025 DE 2004</w:t>
      </w:r>
    </w:p>
    <w:p w:rsidR="00B627B9" w:rsidRDefault="00B627B9" w:rsidP="00B627B9">
      <w:pPr>
        <w:rPr>
          <w:rFonts w:cs="Times New Roman"/>
          <w:color w:val="0D0D0D" w:themeColor="text1" w:themeTint="F2"/>
          <w:szCs w:val="28"/>
        </w:rPr>
      </w:pPr>
    </w:p>
    <w:p w:rsidR="00B627B9" w:rsidRPr="00B627B9" w:rsidRDefault="00D75611" w:rsidP="00B627B9">
      <w:pPr>
        <w:rPr>
          <w:rFonts w:cs="Times New Roman"/>
          <w:b/>
          <w:color w:val="0D0D0D" w:themeColor="text1" w:themeTint="F2"/>
          <w:szCs w:val="28"/>
        </w:rPr>
      </w:pPr>
      <w:r w:rsidRPr="00D75611">
        <w:rPr>
          <w:rFonts w:cs="Times New Roman"/>
          <w:b/>
          <w:color w:val="0D0D0D" w:themeColor="text1" w:themeTint="F2"/>
          <w:szCs w:val="28"/>
        </w:rPr>
        <w:t xml:space="preserve">                     </w:t>
      </w:r>
      <w:r w:rsidR="00CB00E0">
        <w:rPr>
          <w:rFonts w:cs="Times New Roman"/>
          <w:b/>
          <w:color w:val="0D0D0D" w:themeColor="text1" w:themeTint="F2"/>
          <w:szCs w:val="28"/>
        </w:rPr>
        <w:t xml:space="preserve">                            Auto 50</w:t>
      </w:r>
      <w:r w:rsidR="00DE48B4">
        <w:rPr>
          <w:rFonts w:cs="Times New Roman"/>
          <w:b/>
          <w:color w:val="0D0D0D" w:themeColor="text1" w:themeTint="F2"/>
          <w:szCs w:val="28"/>
        </w:rPr>
        <w:t>9</w:t>
      </w:r>
      <w:bookmarkStart w:id="0" w:name="_GoBack"/>
      <w:bookmarkEnd w:id="0"/>
      <w:r w:rsidR="00CB00E0">
        <w:rPr>
          <w:rFonts w:cs="Times New Roman"/>
          <w:b/>
          <w:color w:val="0D0D0D" w:themeColor="text1" w:themeTint="F2"/>
          <w:szCs w:val="28"/>
        </w:rPr>
        <w:t xml:space="preserve"> de 2018</w:t>
      </w:r>
    </w:p>
    <w:p w:rsidR="00B627B9" w:rsidRPr="00B627B9" w:rsidRDefault="00B627B9" w:rsidP="00B627B9">
      <w:pPr>
        <w:ind w:left="4248"/>
        <w:rPr>
          <w:rFonts w:cs="Times New Roman"/>
          <w:b/>
          <w:color w:val="0D0D0D" w:themeColor="text1" w:themeTint="F2"/>
          <w:szCs w:val="28"/>
        </w:rPr>
      </w:pPr>
    </w:p>
    <w:p w:rsidR="00B627B9" w:rsidRPr="00B627B9" w:rsidRDefault="00B627B9" w:rsidP="00B627B9">
      <w:pPr>
        <w:ind w:left="4248"/>
        <w:rPr>
          <w:rFonts w:cs="Times New Roman"/>
          <w:szCs w:val="28"/>
        </w:rPr>
      </w:pPr>
      <w:r w:rsidRPr="00B627B9">
        <w:rPr>
          <w:rFonts w:cs="Times New Roman"/>
          <w:b/>
          <w:color w:val="0D0D0D" w:themeColor="text1" w:themeTint="F2"/>
          <w:szCs w:val="28"/>
        </w:rPr>
        <w:t>Referencia:</w:t>
      </w:r>
      <w:r w:rsidRPr="00B627B9">
        <w:rPr>
          <w:rFonts w:cs="Times New Roman"/>
          <w:color w:val="0D0D0D" w:themeColor="text1" w:themeTint="F2"/>
          <w:szCs w:val="28"/>
        </w:rPr>
        <w:t xml:space="preserve"> </w:t>
      </w:r>
      <w:r w:rsidR="00576543">
        <w:rPr>
          <w:rFonts w:cs="Times New Roman"/>
          <w:color w:val="0D0D0D" w:themeColor="text1" w:themeTint="F2"/>
          <w:szCs w:val="28"/>
        </w:rPr>
        <w:t xml:space="preserve">Se pone a disposición </w:t>
      </w:r>
      <w:r w:rsidRPr="00B627B9">
        <w:rPr>
          <w:rFonts w:cs="Times New Roman"/>
          <w:szCs w:val="28"/>
        </w:rPr>
        <w:t xml:space="preserve">el informe anual presentado por el Gobierno Nacional a través de la Unidad para las Víctimas, en atención a lo dispuesto en los autos del 11 de marzo y 242 de 2014. </w:t>
      </w:r>
    </w:p>
    <w:p w:rsidR="00B627B9" w:rsidRPr="00B627B9" w:rsidRDefault="00B627B9" w:rsidP="00B627B9">
      <w:pPr>
        <w:rPr>
          <w:rFonts w:cs="Times New Roman"/>
          <w:color w:val="0D0D0D" w:themeColor="text1" w:themeTint="F2"/>
          <w:szCs w:val="28"/>
        </w:rPr>
      </w:pPr>
    </w:p>
    <w:p w:rsidR="00B627B9" w:rsidRPr="00B627B9" w:rsidRDefault="00B627B9" w:rsidP="00B627B9">
      <w:pPr>
        <w:rPr>
          <w:rFonts w:cs="Times New Roman"/>
          <w:color w:val="0D0D0D" w:themeColor="text1" w:themeTint="F2"/>
          <w:szCs w:val="28"/>
        </w:rPr>
      </w:pPr>
    </w:p>
    <w:p w:rsidR="00B627B9" w:rsidRPr="00B627B9" w:rsidRDefault="00B627B9" w:rsidP="00B627B9">
      <w:pPr>
        <w:rPr>
          <w:rFonts w:cs="Times New Roman"/>
          <w:color w:val="0D0D0D" w:themeColor="text1" w:themeTint="F2"/>
          <w:szCs w:val="28"/>
        </w:rPr>
      </w:pPr>
      <w:r w:rsidRPr="00B627B9">
        <w:rPr>
          <w:rFonts w:cs="Times New Roman"/>
          <w:color w:val="0D0D0D" w:themeColor="text1" w:themeTint="F2"/>
          <w:szCs w:val="28"/>
        </w:rPr>
        <w:t xml:space="preserve">Bogotá D.C., </w:t>
      </w:r>
      <w:r>
        <w:rPr>
          <w:rFonts w:cs="Times New Roman"/>
          <w:color w:val="0D0D0D" w:themeColor="text1" w:themeTint="F2"/>
          <w:szCs w:val="28"/>
        </w:rPr>
        <w:t>nueve</w:t>
      </w:r>
      <w:r w:rsidRPr="00B627B9">
        <w:rPr>
          <w:rFonts w:cs="Times New Roman"/>
          <w:color w:val="0D0D0D" w:themeColor="text1" w:themeTint="F2"/>
          <w:szCs w:val="28"/>
        </w:rPr>
        <w:t xml:space="preserve"> (</w:t>
      </w:r>
      <w:r>
        <w:rPr>
          <w:rFonts w:cs="Times New Roman"/>
          <w:color w:val="0D0D0D" w:themeColor="text1" w:themeTint="F2"/>
          <w:szCs w:val="28"/>
        </w:rPr>
        <w:t>9</w:t>
      </w:r>
      <w:r w:rsidRPr="00B627B9">
        <w:rPr>
          <w:rFonts w:cs="Times New Roman"/>
          <w:color w:val="0D0D0D" w:themeColor="text1" w:themeTint="F2"/>
          <w:szCs w:val="28"/>
        </w:rPr>
        <w:t>) de agosto</w:t>
      </w:r>
      <w:r>
        <w:rPr>
          <w:rFonts w:cs="Times New Roman"/>
          <w:color w:val="0D0D0D" w:themeColor="text1" w:themeTint="F2"/>
          <w:szCs w:val="28"/>
        </w:rPr>
        <w:t xml:space="preserve"> de dos mil dieciocho (2018</w:t>
      </w:r>
      <w:r w:rsidRPr="00B627B9">
        <w:rPr>
          <w:rFonts w:cs="Times New Roman"/>
          <w:color w:val="0D0D0D" w:themeColor="text1" w:themeTint="F2"/>
          <w:szCs w:val="28"/>
        </w:rPr>
        <w:t>).</w:t>
      </w:r>
    </w:p>
    <w:p w:rsidR="00B627B9" w:rsidRPr="00B627B9" w:rsidRDefault="00B627B9" w:rsidP="00B627B9">
      <w:pPr>
        <w:rPr>
          <w:rFonts w:cs="Times New Roman"/>
          <w:color w:val="0D0D0D" w:themeColor="text1" w:themeTint="F2"/>
          <w:szCs w:val="28"/>
        </w:rPr>
      </w:pPr>
    </w:p>
    <w:p w:rsidR="00B627B9" w:rsidRPr="00B627B9" w:rsidRDefault="00B627B9" w:rsidP="00B627B9">
      <w:pPr>
        <w:rPr>
          <w:rFonts w:cs="Times New Roman"/>
          <w:color w:val="0D0D0D" w:themeColor="text1" w:themeTint="F2"/>
          <w:szCs w:val="28"/>
        </w:rPr>
      </w:pPr>
      <w:r w:rsidRPr="00B627B9">
        <w:rPr>
          <w:rFonts w:cs="Times New Roman"/>
          <w:color w:val="0D0D0D" w:themeColor="text1" w:themeTint="F2"/>
          <w:szCs w:val="28"/>
        </w:rPr>
        <w:t>La suscrita Magistrada Presidenta de la Sal</w:t>
      </w:r>
      <w:r>
        <w:rPr>
          <w:rFonts w:cs="Times New Roman"/>
          <w:color w:val="0D0D0D" w:themeColor="text1" w:themeTint="F2"/>
          <w:szCs w:val="28"/>
        </w:rPr>
        <w:t>a Especial de Seguimiento a la S</w:t>
      </w:r>
      <w:r w:rsidRPr="00B627B9">
        <w:rPr>
          <w:rFonts w:cs="Times New Roman"/>
          <w:color w:val="0D0D0D" w:themeColor="text1" w:themeTint="F2"/>
          <w:szCs w:val="28"/>
        </w:rPr>
        <w:t xml:space="preserve">entencia T-025 de 2004, en uso de sus facultades constitucionales y legales, profiere el presente </w:t>
      </w:r>
      <w:r>
        <w:rPr>
          <w:rFonts w:cs="Times New Roman"/>
          <w:color w:val="0D0D0D" w:themeColor="text1" w:themeTint="F2"/>
          <w:szCs w:val="28"/>
        </w:rPr>
        <w:t>A</w:t>
      </w:r>
      <w:r w:rsidRPr="00B627B9">
        <w:rPr>
          <w:rFonts w:cs="Times New Roman"/>
          <w:color w:val="0D0D0D" w:themeColor="text1" w:themeTint="F2"/>
          <w:szCs w:val="28"/>
        </w:rPr>
        <w:t>uto a partir de las siguientes,</w:t>
      </w:r>
    </w:p>
    <w:p w:rsidR="00B627B9" w:rsidRPr="00B627B9" w:rsidRDefault="00B627B9" w:rsidP="00B627B9">
      <w:pPr>
        <w:rPr>
          <w:rFonts w:cs="Times New Roman"/>
          <w:color w:val="0D0D0D" w:themeColor="text1" w:themeTint="F2"/>
          <w:szCs w:val="28"/>
        </w:rPr>
      </w:pPr>
    </w:p>
    <w:p w:rsidR="00B627B9" w:rsidRPr="00B627B9" w:rsidRDefault="00B627B9" w:rsidP="00B627B9">
      <w:pPr>
        <w:jc w:val="center"/>
        <w:rPr>
          <w:rFonts w:cs="Times New Roman"/>
          <w:b/>
          <w:color w:val="0D0D0D" w:themeColor="text1" w:themeTint="F2"/>
          <w:szCs w:val="28"/>
        </w:rPr>
      </w:pPr>
      <w:r w:rsidRPr="00B627B9">
        <w:rPr>
          <w:rFonts w:cs="Times New Roman"/>
          <w:b/>
          <w:color w:val="0D0D0D" w:themeColor="text1" w:themeTint="F2"/>
          <w:szCs w:val="28"/>
        </w:rPr>
        <w:t xml:space="preserve">CONSIDERACIONES </w:t>
      </w:r>
    </w:p>
    <w:p w:rsidR="00B627B9" w:rsidRPr="00B627B9" w:rsidRDefault="00B627B9" w:rsidP="00B627B9">
      <w:pPr>
        <w:jc w:val="center"/>
        <w:rPr>
          <w:rFonts w:cs="Times New Roman"/>
          <w:b/>
          <w:color w:val="0D0D0D" w:themeColor="text1" w:themeTint="F2"/>
          <w:szCs w:val="28"/>
        </w:rPr>
      </w:pPr>
    </w:p>
    <w:p w:rsidR="00B627B9" w:rsidRPr="00B627B9" w:rsidRDefault="003077FD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En</w:t>
      </w:r>
      <w:r w:rsidR="006447E9">
        <w:t xml:space="preserve"> la </w:t>
      </w:r>
      <w:r w:rsidR="006447E9" w:rsidRPr="006447E9">
        <w:rPr>
          <w:b/>
        </w:rPr>
        <w:t>Sentencia T-025 de 2004</w:t>
      </w:r>
      <w:r w:rsidR="006447E9">
        <w:t xml:space="preserve"> la Corte Constitucional declaró la existencia de un Estado de Cosas Inconstitucional (ECI) en la situación de la población desplazada al constatar, de un lado, la grave, masiva y sistemática vulneración de sus derechos fundamentales; y por otro, la precaria capacidad institucional del Estado colombiano para atender a dicha población y la insuficiente asignación de recursos para abordar esa problemática.</w:t>
      </w:r>
    </w:p>
    <w:p w:rsidR="00B627B9" w:rsidRPr="00B627B9" w:rsidRDefault="00B627B9" w:rsidP="00B627B9">
      <w:pPr>
        <w:pStyle w:val="Prrafodelista"/>
        <w:spacing w:line="240" w:lineRule="auto"/>
        <w:ind w:left="0"/>
        <w:rPr>
          <w:rFonts w:cs="Times New Roman"/>
          <w:color w:val="0D0D0D" w:themeColor="text1" w:themeTint="F2"/>
          <w:szCs w:val="28"/>
        </w:rPr>
      </w:pPr>
    </w:p>
    <w:p w:rsidR="00B627B9" w:rsidRPr="003077FD" w:rsidRDefault="003077FD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szCs w:val="28"/>
        </w:rPr>
        <w:t>C</w:t>
      </w:r>
      <w:r w:rsidRPr="003077FD">
        <w:rPr>
          <w:rFonts w:cs="Times New Roman"/>
          <w:szCs w:val="28"/>
        </w:rPr>
        <w:t>on la finalidad de verificar que las entidades y organismos competentes adopten las medidas necesarias para asegurar el goce efectivo de los derechos fundamentales de las personas desplazadas</w:t>
      </w:r>
      <w:r w:rsidR="00943CB8">
        <w:rPr>
          <w:rFonts w:cs="Times New Roman"/>
          <w:szCs w:val="28"/>
        </w:rPr>
        <w:t>, e</w:t>
      </w:r>
      <w:r w:rsidR="00B627B9" w:rsidRPr="003077FD">
        <w:rPr>
          <w:rFonts w:cs="Times New Roman"/>
          <w:szCs w:val="28"/>
        </w:rPr>
        <w:t xml:space="preserve">sta Corporación ha mantenido su competencia, de acuerdo con lo establecido en el artículo 27 del Decreto 2591 de 1991, el cual dispone que </w:t>
      </w:r>
      <w:r w:rsidR="00B627B9" w:rsidRPr="003077FD">
        <w:rPr>
          <w:rFonts w:cs="Times New Roman"/>
          <w:i/>
          <w:szCs w:val="28"/>
        </w:rPr>
        <w:t>“el juez (…) mantendrá la competencia hasta que esté completamente restablecido el derecho o eliminadas las causas de la amenaza”</w:t>
      </w:r>
      <w:r w:rsidR="006447E9" w:rsidRPr="003077FD">
        <w:rPr>
          <w:rFonts w:cs="Times New Roman"/>
          <w:i/>
          <w:szCs w:val="28"/>
        </w:rPr>
        <w:t xml:space="preserve">. </w:t>
      </w:r>
    </w:p>
    <w:p w:rsidR="00B627B9" w:rsidRPr="00B627B9" w:rsidRDefault="00B627B9" w:rsidP="00B627B9">
      <w:pPr>
        <w:pStyle w:val="Prrafodelista"/>
        <w:rPr>
          <w:rFonts w:cs="Times New Roman"/>
          <w:color w:val="0D0D0D" w:themeColor="text1" w:themeTint="F2"/>
          <w:szCs w:val="28"/>
        </w:rPr>
      </w:pPr>
    </w:p>
    <w:p w:rsidR="00B627B9" w:rsidRPr="00B627B9" w:rsidRDefault="00B627B9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rFonts w:cs="Times New Roman"/>
          <w:color w:val="0D0D0D" w:themeColor="text1" w:themeTint="F2"/>
          <w:szCs w:val="28"/>
        </w:rPr>
      </w:pPr>
      <w:r w:rsidRPr="00B627B9">
        <w:rPr>
          <w:rFonts w:cs="Times New Roman"/>
          <w:color w:val="0D0D0D" w:themeColor="text1" w:themeTint="F2"/>
          <w:szCs w:val="28"/>
        </w:rPr>
        <w:t xml:space="preserve">En virtud de lo anterior y con el fin de evaluar el avance en la superación del </w:t>
      </w:r>
      <w:r w:rsidR="006447E9">
        <w:rPr>
          <w:rFonts w:cs="Times New Roman"/>
          <w:color w:val="0D0D0D" w:themeColor="text1" w:themeTint="F2"/>
          <w:szCs w:val="28"/>
        </w:rPr>
        <w:t>ECI</w:t>
      </w:r>
      <w:r w:rsidRPr="00B627B9">
        <w:rPr>
          <w:rFonts w:cs="Times New Roman"/>
          <w:color w:val="0D0D0D" w:themeColor="text1" w:themeTint="F2"/>
          <w:szCs w:val="28"/>
        </w:rPr>
        <w:t xml:space="preserve">, esta Corporación </w:t>
      </w:r>
      <w:r>
        <w:rPr>
          <w:rFonts w:cs="Times New Roman"/>
          <w:color w:val="0D0D0D" w:themeColor="text1" w:themeTint="F2"/>
          <w:szCs w:val="28"/>
        </w:rPr>
        <w:t>profirió</w:t>
      </w:r>
      <w:r w:rsidRPr="00B627B9">
        <w:rPr>
          <w:rFonts w:cs="Times New Roman"/>
          <w:color w:val="0D0D0D" w:themeColor="text1" w:themeTint="F2"/>
          <w:szCs w:val="28"/>
        </w:rPr>
        <w:t xml:space="preserve"> el </w:t>
      </w:r>
      <w:r w:rsidRPr="006447E9">
        <w:rPr>
          <w:rFonts w:cs="Times New Roman"/>
          <w:b/>
          <w:color w:val="0D0D0D" w:themeColor="text1" w:themeTint="F2"/>
          <w:szCs w:val="28"/>
        </w:rPr>
        <w:t>Auto del 11 de marzo de 2014</w:t>
      </w:r>
      <w:r w:rsidRPr="00B627B9">
        <w:rPr>
          <w:rFonts w:cs="Times New Roman"/>
          <w:color w:val="0D0D0D" w:themeColor="text1" w:themeTint="F2"/>
          <w:szCs w:val="28"/>
        </w:rPr>
        <w:t xml:space="preserve">, a través del cual solicitó información al Gobierno Nacional sobre las acciones adelantadas para dar cumplimiento a las órdenes impartidas en la </w:t>
      </w:r>
      <w:r w:rsidRPr="00B627B9">
        <w:rPr>
          <w:rFonts w:cs="Times New Roman"/>
          <w:b/>
          <w:color w:val="0D0D0D" w:themeColor="text1" w:themeTint="F2"/>
          <w:szCs w:val="28"/>
        </w:rPr>
        <w:t>Sentencia T-025 de 2004</w:t>
      </w:r>
      <w:r w:rsidR="006447E9">
        <w:rPr>
          <w:rFonts w:cs="Times New Roman"/>
          <w:color w:val="0D0D0D" w:themeColor="text1" w:themeTint="F2"/>
          <w:szCs w:val="28"/>
        </w:rPr>
        <w:t xml:space="preserve"> y los autos de seguimiento</w:t>
      </w:r>
      <w:r w:rsidRPr="00B627B9">
        <w:rPr>
          <w:szCs w:val="28"/>
        </w:rPr>
        <w:t xml:space="preserve">. Así mismo, </w:t>
      </w:r>
      <w:r>
        <w:rPr>
          <w:szCs w:val="28"/>
        </w:rPr>
        <w:t xml:space="preserve">la Corte Constitucional </w:t>
      </w:r>
      <w:r w:rsidRPr="00B627B9">
        <w:rPr>
          <w:szCs w:val="28"/>
        </w:rPr>
        <w:t xml:space="preserve">en </w:t>
      </w:r>
      <w:r w:rsidRPr="00B627B9">
        <w:rPr>
          <w:szCs w:val="28"/>
        </w:rPr>
        <w:lastRenderedPageBreak/>
        <w:t>dicha providencia ordenó</w:t>
      </w:r>
      <w:r>
        <w:rPr>
          <w:szCs w:val="28"/>
        </w:rPr>
        <w:t xml:space="preserve"> a</w:t>
      </w:r>
      <w:r w:rsidRPr="00B627B9">
        <w:rPr>
          <w:szCs w:val="28"/>
        </w:rPr>
        <w:t xml:space="preserve"> la Unidad Administrativa Especial para la Atención y Reparación Integral a las Víctimas</w:t>
      </w:r>
      <w:r w:rsidR="00455379">
        <w:rPr>
          <w:szCs w:val="28"/>
        </w:rPr>
        <w:t xml:space="preserve"> (</w:t>
      </w:r>
      <w:r w:rsidR="006447E9">
        <w:rPr>
          <w:szCs w:val="28"/>
        </w:rPr>
        <w:t>Unidad para las Víctimas</w:t>
      </w:r>
      <w:r w:rsidR="00455379">
        <w:rPr>
          <w:szCs w:val="28"/>
        </w:rPr>
        <w:t>)</w:t>
      </w:r>
      <w:r w:rsidR="006447E9">
        <w:rPr>
          <w:szCs w:val="28"/>
        </w:rPr>
        <w:t>,</w:t>
      </w:r>
      <w:r w:rsidR="00935F46">
        <w:rPr>
          <w:szCs w:val="28"/>
        </w:rPr>
        <w:t xml:space="preserve"> </w:t>
      </w:r>
      <w:r w:rsidRPr="00B627B9">
        <w:rPr>
          <w:szCs w:val="28"/>
        </w:rPr>
        <w:t>en calidad de coordinadora de las entidades que conforman el Sistema Nacional de Atención y Reparación Integral a las Víctimas, presentar un informe anual sobre los avances, retrocesos o estancamientos en la superación de</w:t>
      </w:r>
      <w:r>
        <w:rPr>
          <w:szCs w:val="28"/>
        </w:rPr>
        <w:t>l estado de cosas inconstitucional</w:t>
      </w:r>
      <w:r w:rsidRPr="00B627B9">
        <w:rPr>
          <w:rStyle w:val="Refdenotaalpie"/>
          <w:szCs w:val="28"/>
        </w:rPr>
        <w:footnoteReference w:id="1"/>
      </w:r>
      <w:r w:rsidRPr="00B627B9">
        <w:rPr>
          <w:szCs w:val="28"/>
        </w:rPr>
        <w:t xml:space="preserve">. </w:t>
      </w:r>
    </w:p>
    <w:p w:rsidR="00B627B9" w:rsidRPr="00B627B9" w:rsidRDefault="00B627B9" w:rsidP="00B627B9">
      <w:pPr>
        <w:pStyle w:val="Prrafodelista"/>
        <w:rPr>
          <w:rFonts w:cs="Times New Roman"/>
          <w:color w:val="0D0D0D" w:themeColor="text1" w:themeTint="F2"/>
          <w:szCs w:val="28"/>
        </w:rPr>
      </w:pPr>
    </w:p>
    <w:p w:rsidR="00B627B9" w:rsidRPr="00B627B9" w:rsidRDefault="00935F46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L</w:t>
      </w:r>
      <w:r w:rsidR="00B627B9" w:rsidRPr="00B627B9">
        <w:rPr>
          <w:rFonts w:cs="Times New Roman"/>
          <w:color w:val="0D0D0D" w:themeColor="text1" w:themeTint="F2"/>
          <w:szCs w:val="28"/>
        </w:rPr>
        <w:t>a Unidad</w:t>
      </w:r>
      <w:r w:rsidR="006447E9">
        <w:rPr>
          <w:rFonts w:cs="Times New Roman"/>
          <w:color w:val="0D0D0D" w:themeColor="text1" w:themeTint="F2"/>
          <w:szCs w:val="28"/>
        </w:rPr>
        <w:t xml:space="preserve"> para las V</w:t>
      </w:r>
      <w:r w:rsidR="00B627B9" w:rsidRPr="00B627B9">
        <w:rPr>
          <w:rFonts w:cs="Times New Roman"/>
          <w:color w:val="0D0D0D" w:themeColor="text1" w:themeTint="F2"/>
          <w:szCs w:val="28"/>
        </w:rPr>
        <w:t>íctimas solicitó a esta Sala Especial ampliar</w:t>
      </w:r>
      <w:r>
        <w:rPr>
          <w:rFonts w:cs="Times New Roman"/>
          <w:color w:val="0D0D0D" w:themeColor="text1" w:themeTint="F2"/>
          <w:szCs w:val="28"/>
        </w:rPr>
        <w:t xml:space="preserve"> 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el término establecido en el numeral 2° de la orden primera del </w:t>
      </w:r>
      <w:r w:rsidR="00B627B9" w:rsidRPr="006447E9">
        <w:rPr>
          <w:rFonts w:cs="Times New Roman"/>
          <w:b/>
          <w:color w:val="0D0D0D" w:themeColor="text1" w:themeTint="F2"/>
          <w:szCs w:val="28"/>
        </w:rPr>
        <w:t>Auto del 11 de marzo de 2014</w:t>
      </w:r>
      <w:r w:rsidR="00B627B9" w:rsidRPr="00B627B9">
        <w:rPr>
          <w:rStyle w:val="Refdenotaalpie"/>
          <w:rFonts w:cs="Times New Roman"/>
          <w:color w:val="0D0D0D" w:themeColor="text1" w:themeTint="F2"/>
          <w:szCs w:val="28"/>
        </w:rPr>
        <w:footnoteReference w:id="2"/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 para presentar el infor</w:t>
      </w:r>
      <w:r w:rsidR="00CE57C2">
        <w:rPr>
          <w:rFonts w:cs="Times New Roman"/>
          <w:color w:val="0D0D0D" w:themeColor="text1" w:themeTint="F2"/>
          <w:szCs w:val="28"/>
        </w:rPr>
        <w:t>me anual requerido, lo anterior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 debido a que</w:t>
      </w:r>
      <w:r w:rsidR="0013182B">
        <w:rPr>
          <w:rFonts w:cs="Times New Roman"/>
          <w:color w:val="0D0D0D" w:themeColor="text1" w:themeTint="F2"/>
          <w:szCs w:val="28"/>
        </w:rPr>
        <w:t>,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 </w:t>
      </w:r>
      <w:r w:rsidR="0013182B">
        <w:rPr>
          <w:rFonts w:cs="Times New Roman"/>
          <w:color w:val="0D0D0D" w:themeColor="text1" w:themeTint="F2"/>
          <w:szCs w:val="28"/>
        </w:rPr>
        <w:t xml:space="preserve">de </w:t>
      </w:r>
      <w:r w:rsidR="0013182B" w:rsidRPr="0013182B">
        <w:rPr>
          <w:rFonts w:cs="Times New Roman"/>
          <w:color w:val="0D0D0D" w:themeColor="text1" w:themeTint="F2"/>
          <w:szCs w:val="28"/>
        </w:rPr>
        <w:t>acuerdo a</w:t>
      </w:r>
      <w:r w:rsidR="00B627B9" w:rsidRPr="0013182B">
        <w:rPr>
          <w:rFonts w:cs="Times New Roman"/>
          <w:color w:val="0D0D0D" w:themeColor="text1" w:themeTint="F2"/>
          <w:szCs w:val="28"/>
        </w:rPr>
        <w:t xml:space="preserve"> lo </w:t>
      </w:r>
      <w:r w:rsidR="0013182B" w:rsidRPr="0013182B">
        <w:rPr>
          <w:rFonts w:cs="Times New Roman"/>
          <w:color w:val="0D0D0D" w:themeColor="text1" w:themeTint="F2"/>
          <w:szCs w:val="28"/>
        </w:rPr>
        <w:t>dispuesto en la Ley 1448 de 2011, dicha</w:t>
      </w:r>
      <w:r w:rsidR="00CE57C2" w:rsidRPr="0013182B">
        <w:rPr>
          <w:rFonts w:cs="Times New Roman"/>
          <w:color w:val="0D0D0D" w:themeColor="text1" w:themeTint="F2"/>
          <w:szCs w:val="28"/>
        </w:rPr>
        <w:t xml:space="preserve"> entidad </w:t>
      </w:r>
      <w:r w:rsidR="00B627B9" w:rsidRPr="0013182B">
        <w:rPr>
          <w:rFonts w:cs="Times New Roman"/>
          <w:color w:val="0D0D0D" w:themeColor="text1" w:themeTint="F2"/>
          <w:szCs w:val="28"/>
        </w:rPr>
        <w:t xml:space="preserve">debe entregar a </w:t>
      </w:r>
      <w:r w:rsidR="00B627B9" w:rsidRPr="0013182B">
        <w:rPr>
          <w:szCs w:val="28"/>
        </w:rPr>
        <w:t>las comisiones Primeras del Senado de la República y de la Cámara de Representantes un informe similar el 1 de agosto de cada año</w:t>
      </w:r>
      <w:r w:rsidR="0013182B" w:rsidRPr="0013182B">
        <w:rPr>
          <w:szCs w:val="28"/>
        </w:rPr>
        <w:t>. En este sentido, la</w:t>
      </w:r>
      <w:r w:rsidR="00B627B9" w:rsidRPr="0013182B">
        <w:rPr>
          <w:szCs w:val="28"/>
        </w:rPr>
        <w:t xml:space="preserve"> solicitud se justificó en que el cambio de término permitiría coordinar tiempos, información, y demás aspectos relacionados con la elaboración, validación y entrega de los informes.</w:t>
      </w:r>
      <w:r w:rsidR="00B627B9" w:rsidRPr="00B627B9">
        <w:rPr>
          <w:szCs w:val="28"/>
        </w:rPr>
        <w:t xml:space="preserve">  </w:t>
      </w:r>
    </w:p>
    <w:p w:rsidR="00B627B9" w:rsidRPr="00B627B9" w:rsidRDefault="00B627B9" w:rsidP="00CE57C2">
      <w:pPr>
        <w:pStyle w:val="Prrafodelista"/>
        <w:jc w:val="center"/>
        <w:rPr>
          <w:rFonts w:cs="Times New Roman"/>
          <w:b/>
          <w:color w:val="0D0D0D" w:themeColor="text1" w:themeTint="F2"/>
          <w:szCs w:val="28"/>
        </w:rPr>
      </w:pPr>
    </w:p>
    <w:p w:rsidR="00B627B9" w:rsidRPr="00702E83" w:rsidRDefault="0013182B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rFonts w:cs="Times New Roman"/>
          <w:b/>
          <w:color w:val="0D0D0D" w:themeColor="text1" w:themeTint="F2"/>
          <w:szCs w:val="28"/>
        </w:rPr>
      </w:pPr>
      <w:r w:rsidRPr="00702E83">
        <w:rPr>
          <w:rFonts w:cs="Times New Roman"/>
          <w:color w:val="0D0D0D" w:themeColor="text1" w:themeTint="F2"/>
          <w:szCs w:val="28"/>
        </w:rPr>
        <w:t>A</w:t>
      </w:r>
      <w:r w:rsidR="00B627B9" w:rsidRPr="00702E83">
        <w:rPr>
          <w:rFonts w:cs="Times New Roman"/>
          <w:color w:val="0D0D0D" w:themeColor="text1" w:themeTint="F2"/>
          <w:szCs w:val="28"/>
        </w:rPr>
        <w:t xml:space="preserve"> través del </w:t>
      </w:r>
      <w:r w:rsidR="00B627B9" w:rsidRPr="00702E83">
        <w:rPr>
          <w:rFonts w:cs="Times New Roman"/>
          <w:b/>
          <w:color w:val="0D0D0D" w:themeColor="text1" w:themeTint="F2"/>
          <w:szCs w:val="28"/>
        </w:rPr>
        <w:t>Auto 242 de 2014</w:t>
      </w:r>
      <w:r w:rsidRPr="00702E83">
        <w:rPr>
          <w:rFonts w:cs="Times New Roman"/>
          <w:color w:val="0D0D0D" w:themeColor="text1" w:themeTint="F2"/>
          <w:szCs w:val="28"/>
        </w:rPr>
        <w:t xml:space="preserve">, esta Corporación </w:t>
      </w:r>
      <w:r w:rsidR="00B627B9" w:rsidRPr="00702E83">
        <w:rPr>
          <w:rFonts w:cs="Times New Roman"/>
          <w:color w:val="0D0D0D" w:themeColor="text1" w:themeTint="F2"/>
          <w:szCs w:val="28"/>
        </w:rPr>
        <w:t>concedió la prórroga solicitada</w:t>
      </w:r>
      <w:r w:rsidRPr="00702E83">
        <w:rPr>
          <w:rFonts w:cs="Times New Roman"/>
          <w:color w:val="0D0D0D" w:themeColor="text1" w:themeTint="F2"/>
          <w:szCs w:val="28"/>
        </w:rPr>
        <w:t xml:space="preserve"> por la Unidad para las V</w:t>
      </w:r>
      <w:r w:rsidR="00B627B9" w:rsidRPr="00702E83">
        <w:rPr>
          <w:rFonts w:cs="Times New Roman"/>
          <w:color w:val="0D0D0D" w:themeColor="text1" w:themeTint="F2"/>
          <w:szCs w:val="28"/>
        </w:rPr>
        <w:t>íctimas</w:t>
      </w:r>
      <w:r w:rsidRPr="00702E83">
        <w:rPr>
          <w:rFonts w:cs="Times New Roman"/>
          <w:color w:val="0D0D0D" w:themeColor="text1" w:themeTint="F2"/>
          <w:szCs w:val="28"/>
        </w:rPr>
        <w:t xml:space="preserve"> y</w:t>
      </w:r>
      <w:r w:rsidR="00B627B9" w:rsidRPr="00702E83">
        <w:rPr>
          <w:rFonts w:cs="Times New Roman"/>
          <w:color w:val="0D0D0D" w:themeColor="text1" w:themeTint="F2"/>
          <w:szCs w:val="28"/>
        </w:rPr>
        <w:t xml:space="preserve"> modificó el término establecido inicialmente</w:t>
      </w:r>
      <w:r w:rsidRPr="00702E83">
        <w:rPr>
          <w:rFonts w:cs="Times New Roman"/>
          <w:color w:val="0D0D0D" w:themeColor="text1" w:themeTint="F2"/>
          <w:szCs w:val="28"/>
        </w:rPr>
        <w:t xml:space="preserve"> </w:t>
      </w:r>
      <w:r w:rsidR="00935F46" w:rsidRPr="00702E83">
        <w:rPr>
          <w:rFonts w:cs="Times New Roman"/>
          <w:color w:val="0D0D0D" w:themeColor="text1" w:themeTint="F2"/>
          <w:szCs w:val="28"/>
        </w:rPr>
        <w:t xml:space="preserve">para </w:t>
      </w:r>
      <w:r w:rsidR="00B627B9" w:rsidRPr="00702E83">
        <w:rPr>
          <w:rFonts w:cs="Times New Roman"/>
          <w:color w:val="0D0D0D" w:themeColor="text1" w:themeTint="F2"/>
          <w:szCs w:val="28"/>
        </w:rPr>
        <w:t>que dicha entidad en adelante</w:t>
      </w:r>
      <w:r w:rsidRPr="00702E83">
        <w:rPr>
          <w:rFonts w:cs="Times New Roman"/>
          <w:color w:val="0D0D0D" w:themeColor="text1" w:themeTint="F2"/>
          <w:szCs w:val="28"/>
        </w:rPr>
        <w:t xml:space="preserve"> present</w:t>
      </w:r>
      <w:r w:rsidR="00B83ED7">
        <w:rPr>
          <w:rFonts w:cs="Times New Roman"/>
          <w:color w:val="0D0D0D" w:themeColor="text1" w:themeTint="F2"/>
          <w:szCs w:val="28"/>
        </w:rPr>
        <w:t>e</w:t>
      </w:r>
      <w:r w:rsidR="00B627B9" w:rsidRPr="00702E83">
        <w:rPr>
          <w:rFonts w:cs="Times New Roman"/>
          <w:color w:val="0D0D0D" w:themeColor="text1" w:themeTint="F2"/>
          <w:szCs w:val="28"/>
        </w:rPr>
        <w:t xml:space="preserve"> el informe requerido  </w:t>
      </w:r>
      <w:r w:rsidR="00B627B9" w:rsidRPr="00702E83">
        <w:rPr>
          <w:szCs w:val="28"/>
        </w:rPr>
        <w:t xml:space="preserve">en medio físico y magnético, los primeros cinco (5) días del mes de agosto de cada año. </w:t>
      </w:r>
    </w:p>
    <w:p w:rsidR="00B627B9" w:rsidRPr="00B627B9" w:rsidRDefault="00B627B9" w:rsidP="00B627B9">
      <w:pPr>
        <w:pStyle w:val="Prrafodelista"/>
        <w:rPr>
          <w:rFonts w:cs="Times New Roman"/>
          <w:b/>
          <w:color w:val="0D0D0D" w:themeColor="text1" w:themeTint="F2"/>
          <w:szCs w:val="28"/>
        </w:rPr>
      </w:pPr>
    </w:p>
    <w:p w:rsidR="00B627B9" w:rsidRPr="00B627B9" w:rsidRDefault="00935F46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>
        <w:rPr>
          <w:rFonts w:cs="Times New Roman"/>
          <w:color w:val="0D0D0D" w:themeColor="text1" w:themeTint="F2"/>
          <w:szCs w:val="28"/>
        </w:rPr>
        <w:t>E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l pasado </w:t>
      </w:r>
      <w:r>
        <w:rPr>
          <w:rFonts w:cs="Times New Roman"/>
          <w:color w:val="0D0D0D" w:themeColor="text1" w:themeTint="F2"/>
          <w:szCs w:val="28"/>
        </w:rPr>
        <w:t>tres (3)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 de agosto, esta entidad presentó el</w:t>
      </w:r>
      <w:r w:rsidR="00B83ED7">
        <w:rPr>
          <w:rFonts w:cs="Times New Roman"/>
          <w:color w:val="0D0D0D" w:themeColor="text1" w:themeTint="F2"/>
          <w:szCs w:val="28"/>
        </w:rPr>
        <w:t xml:space="preserve"> </w:t>
      </w:r>
      <w:r w:rsidR="00B627B9" w:rsidRPr="00B627B9">
        <w:rPr>
          <w:rFonts w:cs="Times New Roman"/>
          <w:color w:val="0D0D0D" w:themeColor="text1" w:themeTint="F2"/>
          <w:szCs w:val="28"/>
        </w:rPr>
        <w:t>informe anual</w:t>
      </w:r>
      <w:r w:rsidR="00EA6404">
        <w:rPr>
          <w:rFonts w:cs="Times New Roman"/>
          <w:color w:val="0D0D0D" w:themeColor="text1" w:themeTint="F2"/>
          <w:szCs w:val="28"/>
        </w:rPr>
        <w:t xml:space="preserve"> sobre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 </w:t>
      </w:r>
      <w:r w:rsidR="00B627B9" w:rsidRPr="00B627B9">
        <w:rPr>
          <w:szCs w:val="28"/>
        </w:rPr>
        <w:t xml:space="preserve">los avances, </w:t>
      </w:r>
      <w:r w:rsidR="00EA6404">
        <w:rPr>
          <w:szCs w:val="28"/>
        </w:rPr>
        <w:t>retrocesos y</w:t>
      </w:r>
      <w:r w:rsidR="00B627B9" w:rsidRPr="00B627B9">
        <w:rPr>
          <w:szCs w:val="28"/>
        </w:rPr>
        <w:t xml:space="preserve"> </w:t>
      </w:r>
      <w:r w:rsidR="00EA6404">
        <w:rPr>
          <w:szCs w:val="28"/>
        </w:rPr>
        <w:t>estancamientos en la superación del estado de cosas inconstitucional</w:t>
      </w:r>
      <w:r w:rsidR="00B627B9" w:rsidRPr="00B627B9">
        <w:rPr>
          <w:szCs w:val="28"/>
        </w:rPr>
        <w:t>.</w:t>
      </w:r>
      <w:r w:rsidR="00B627B9" w:rsidRPr="00B627B9">
        <w:rPr>
          <w:rFonts w:cs="Times New Roman"/>
          <w:color w:val="0D0D0D" w:themeColor="text1" w:themeTint="F2"/>
          <w:szCs w:val="28"/>
        </w:rPr>
        <w:t xml:space="preserve">  </w:t>
      </w:r>
    </w:p>
    <w:p w:rsidR="00B627B9" w:rsidRPr="00B627B9" w:rsidRDefault="00B627B9" w:rsidP="00B627B9">
      <w:pPr>
        <w:pStyle w:val="Prrafodelista"/>
        <w:rPr>
          <w:szCs w:val="28"/>
        </w:rPr>
      </w:pPr>
    </w:p>
    <w:p w:rsidR="00B627B9" w:rsidRPr="00B627B9" w:rsidRDefault="00B627B9" w:rsidP="00B627B9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B627B9">
        <w:rPr>
          <w:szCs w:val="28"/>
        </w:rPr>
        <w:t xml:space="preserve">En razón de lo anterior, esta Sala </w:t>
      </w:r>
      <w:r w:rsidR="00EA6404">
        <w:rPr>
          <w:szCs w:val="28"/>
        </w:rPr>
        <w:t xml:space="preserve">pone el informe anual a disposición </w:t>
      </w:r>
      <w:r w:rsidRPr="00B627B9">
        <w:rPr>
          <w:szCs w:val="28"/>
        </w:rPr>
        <w:t xml:space="preserve">de los órganos de </w:t>
      </w:r>
      <w:r w:rsidR="00B83ED7">
        <w:rPr>
          <w:szCs w:val="28"/>
        </w:rPr>
        <w:t>c</w:t>
      </w:r>
      <w:r w:rsidRPr="00B627B9">
        <w:rPr>
          <w:szCs w:val="28"/>
        </w:rPr>
        <w:t xml:space="preserve">ontrol y demás organismos interesados en el proceso de seguimiento y valoración de las órdenes impartidas en la sentencia T-025 de 2004 y sus autos de seguimiento; a fin de que los mismos evalúen el documento y en el término de un mes (1) contado a partir de la notificación de esta providencia, remitan a esta Sala un pronunciamiento sobre dicho informe.     </w:t>
      </w:r>
    </w:p>
    <w:p w:rsidR="00B627B9" w:rsidRPr="00B627B9" w:rsidRDefault="00B627B9" w:rsidP="00B627B9">
      <w:pPr>
        <w:pStyle w:val="Prrafodelista"/>
        <w:spacing w:line="240" w:lineRule="auto"/>
        <w:ind w:left="0"/>
        <w:rPr>
          <w:szCs w:val="28"/>
        </w:rPr>
      </w:pPr>
    </w:p>
    <w:p w:rsidR="00B627B9" w:rsidRPr="00B627B9" w:rsidRDefault="00B627B9" w:rsidP="00B627B9">
      <w:pPr>
        <w:rPr>
          <w:rFonts w:cs="Times New Roman"/>
          <w:color w:val="000000" w:themeColor="text1"/>
          <w:szCs w:val="28"/>
        </w:rPr>
      </w:pPr>
      <w:r w:rsidRPr="00B627B9">
        <w:rPr>
          <w:rFonts w:cs="Times New Roman"/>
          <w:color w:val="000000" w:themeColor="text1"/>
          <w:szCs w:val="28"/>
        </w:rPr>
        <w:t xml:space="preserve">En mérito de lo expuesto, la suscrita Magistrada, </w:t>
      </w:r>
    </w:p>
    <w:p w:rsidR="00B627B9" w:rsidRPr="00B627B9" w:rsidRDefault="00B627B9" w:rsidP="00B627B9">
      <w:pPr>
        <w:tabs>
          <w:tab w:val="left" w:pos="6630"/>
        </w:tabs>
        <w:jc w:val="left"/>
        <w:rPr>
          <w:rFonts w:cs="Times New Roman"/>
          <w:color w:val="0D0D0D" w:themeColor="text1" w:themeTint="F2"/>
          <w:szCs w:val="28"/>
        </w:rPr>
      </w:pPr>
      <w:r w:rsidRPr="00B627B9">
        <w:rPr>
          <w:rFonts w:cs="Times New Roman"/>
          <w:color w:val="0D0D0D" w:themeColor="text1" w:themeTint="F2"/>
          <w:szCs w:val="28"/>
        </w:rPr>
        <w:tab/>
      </w:r>
    </w:p>
    <w:p w:rsidR="00B627B9" w:rsidRPr="00B627B9" w:rsidRDefault="00B627B9" w:rsidP="00B627B9">
      <w:pPr>
        <w:jc w:val="center"/>
        <w:rPr>
          <w:rFonts w:cs="Times New Roman"/>
          <w:b/>
          <w:color w:val="0D0D0D" w:themeColor="text1" w:themeTint="F2"/>
          <w:szCs w:val="28"/>
        </w:rPr>
      </w:pPr>
      <w:r w:rsidRPr="00B627B9">
        <w:rPr>
          <w:rFonts w:cs="Times New Roman"/>
          <w:b/>
          <w:color w:val="0D0D0D" w:themeColor="text1" w:themeTint="F2"/>
          <w:szCs w:val="28"/>
        </w:rPr>
        <w:t>RESUELVE</w:t>
      </w:r>
    </w:p>
    <w:p w:rsidR="00B627B9" w:rsidRPr="00B627B9" w:rsidRDefault="00B627B9" w:rsidP="00B627B9">
      <w:pPr>
        <w:rPr>
          <w:rFonts w:cs="Times New Roman"/>
          <w:b/>
          <w:color w:val="0D0D0D" w:themeColor="text1" w:themeTint="F2"/>
          <w:szCs w:val="28"/>
        </w:rPr>
      </w:pPr>
    </w:p>
    <w:p w:rsidR="0013442E" w:rsidRDefault="0013442E" w:rsidP="00B627B9">
      <w:pPr>
        <w:ind w:right="57"/>
        <w:mirrorIndents/>
        <w:rPr>
          <w:rFonts w:cs="Times New Roman"/>
          <w:szCs w:val="28"/>
        </w:rPr>
      </w:pPr>
      <w:r>
        <w:rPr>
          <w:rFonts w:cs="Times New Roman"/>
          <w:b/>
          <w:szCs w:val="28"/>
        </w:rPr>
        <w:t>Primero.-</w:t>
      </w:r>
      <w:r w:rsidR="00B627B9" w:rsidRPr="00B627B9">
        <w:rPr>
          <w:rFonts w:cs="Times New Roman"/>
          <w:b/>
          <w:szCs w:val="28"/>
        </w:rPr>
        <w:t xml:space="preserve"> </w:t>
      </w:r>
      <w:r w:rsidR="000F5DDE">
        <w:rPr>
          <w:rFonts w:cs="Times New Roman"/>
          <w:szCs w:val="28"/>
        </w:rPr>
        <w:t xml:space="preserve">Por medio de la Secretaría General de esta Corporación, y por el término de quince (15) días, </w:t>
      </w:r>
      <w:r w:rsidR="00EA6404">
        <w:rPr>
          <w:rFonts w:cs="Times New Roman"/>
          <w:b/>
          <w:szCs w:val="28"/>
        </w:rPr>
        <w:t>PONER A DISPOSICIÓN</w:t>
      </w:r>
      <w:r>
        <w:rPr>
          <w:rFonts w:cs="Times New Roman"/>
          <w:szCs w:val="28"/>
        </w:rPr>
        <w:t xml:space="preserve"> de la </w:t>
      </w:r>
      <w:r w:rsidR="00EA6404" w:rsidRPr="0013442E">
        <w:rPr>
          <w:rFonts w:cs="Times New Roman"/>
          <w:szCs w:val="28"/>
        </w:rPr>
        <w:t>Procuraduría General de la Nación</w:t>
      </w:r>
      <w:r w:rsidR="00EA6404">
        <w:rPr>
          <w:rFonts w:cs="Times New Roman"/>
          <w:b/>
          <w:szCs w:val="28"/>
        </w:rPr>
        <w:t xml:space="preserve">, </w:t>
      </w:r>
      <w:r>
        <w:rPr>
          <w:szCs w:val="28"/>
        </w:rPr>
        <w:t xml:space="preserve">la Defensoría del Pueblo, la </w:t>
      </w:r>
      <w:r w:rsidR="00EA6404">
        <w:rPr>
          <w:szCs w:val="28"/>
        </w:rPr>
        <w:t>Contraloría General de la República</w:t>
      </w:r>
      <w:r w:rsidR="000F5DD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la Comisión de Seguimiento a la Política Pública sobre </w:t>
      </w:r>
      <w:r>
        <w:rPr>
          <w:rFonts w:cs="Times New Roman"/>
          <w:szCs w:val="28"/>
        </w:rPr>
        <w:lastRenderedPageBreak/>
        <w:t xml:space="preserve">Desplazamiento Forzado, </w:t>
      </w:r>
      <w:r w:rsidR="000F5DDE">
        <w:rPr>
          <w:rFonts w:cs="Times New Roman"/>
          <w:szCs w:val="28"/>
        </w:rPr>
        <w:t>el</w:t>
      </w:r>
      <w:r>
        <w:rPr>
          <w:rFonts w:cs="Times New Roman"/>
          <w:szCs w:val="28"/>
        </w:rPr>
        <w:t xml:space="preserve"> Alto Comisionado de las Naciones Unidas para los Refugiados (ACNUR), </w:t>
      </w:r>
      <w:r w:rsidR="000F5DDE">
        <w:rPr>
          <w:rFonts w:cs="Times New Roman"/>
          <w:szCs w:val="28"/>
        </w:rPr>
        <w:t>e</w:t>
      </w:r>
      <w:r>
        <w:rPr>
          <w:rFonts w:cs="Times New Roman"/>
          <w:szCs w:val="28"/>
        </w:rPr>
        <w:t xml:space="preserve">l Alto Comisionado de las Naciones Unidas para los Derechos Humanos (OACNUDH) y </w:t>
      </w:r>
      <w:r w:rsidR="000F5DDE">
        <w:rPr>
          <w:rFonts w:cs="Times New Roman"/>
          <w:szCs w:val="28"/>
        </w:rPr>
        <w:t>e</w:t>
      </w:r>
      <w:r>
        <w:rPr>
          <w:rFonts w:cs="Times New Roman"/>
          <w:szCs w:val="28"/>
        </w:rPr>
        <w:t>l Consejo Noruego para los Refugiados (CNR), el CD que contiene el informe anual presentado por el gobierno nacional, junto con sus anexos.</w:t>
      </w:r>
    </w:p>
    <w:p w:rsidR="0013442E" w:rsidRDefault="0013442E" w:rsidP="00B627B9">
      <w:pPr>
        <w:ind w:right="57"/>
        <w:mirrorIndents/>
        <w:rPr>
          <w:rFonts w:cs="Times New Roman"/>
          <w:szCs w:val="28"/>
        </w:rPr>
      </w:pPr>
    </w:p>
    <w:p w:rsidR="0013442E" w:rsidRDefault="0013442E" w:rsidP="00B627B9">
      <w:pPr>
        <w:ind w:right="57"/>
        <w:mirrorIndents/>
        <w:rPr>
          <w:rFonts w:cs="Times New Roman"/>
          <w:szCs w:val="28"/>
        </w:rPr>
      </w:pPr>
      <w:r w:rsidRPr="000F5DDE">
        <w:rPr>
          <w:rFonts w:cs="Times New Roman"/>
          <w:b/>
          <w:szCs w:val="28"/>
        </w:rPr>
        <w:t>Segundo</w:t>
      </w:r>
      <w:r>
        <w:rPr>
          <w:rFonts w:cs="Times New Roman"/>
          <w:szCs w:val="28"/>
        </w:rPr>
        <w:t>.</w:t>
      </w:r>
      <w:r w:rsidR="000F5DDE">
        <w:rPr>
          <w:rFonts w:cs="Times New Roman"/>
          <w:szCs w:val="28"/>
        </w:rPr>
        <w:t>-</w:t>
      </w:r>
      <w:r w:rsidR="0085711D">
        <w:rPr>
          <w:rFonts w:cs="Times New Roman"/>
          <w:szCs w:val="28"/>
        </w:rPr>
        <w:t xml:space="preserve"> </w:t>
      </w:r>
      <w:r w:rsidR="000F5DDE" w:rsidRPr="00B83ED7">
        <w:rPr>
          <w:rFonts w:cs="Times New Roman"/>
          <w:b/>
          <w:szCs w:val="28"/>
        </w:rPr>
        <w:t>SOLICITAR</w:t>
      </w:r>
      <w:r w:rsidR="000F5DDE">
        <w:rPr>
          <w:rFonts w:cs="Times New Roman"/>
          <w:szCs w:val="28"/>
        </w:rPr>
        <w:t xml:space="preserve">, a través de la Secretaría General de esta Corporación, </w:t>
      </w:r>
      <w:r w:rsidR="00A07F6E">
        <w:rPr>
          <w:rFonts w:cs="Times New Roman"/>
          <w:szCs w:val="28"/>
        </w:rPr>
        <w:t>a</w:t>
      </w:r>
      <w:r w:rsidR="003F19CF">
        <w:rPr>
          <w:rFonts w:cs="Times New Roman"/>
          <w:szCs w:val="28"/>
        </w:rPr>
        <w:t xml:space="preserve"> la Procuraduría</w:t>
      </w:r>
      <w:r w:rsidR="00A07F6E">
        <w:rPr>
          <w:rFonts w:cs="Times New Roman"/>
          <w:szCs w:val="28"/>
        </w:rPr>
        <w:t xml:space="preserve"> General de la Naci</w:t>
      </w:r>
      <w:r w:rsidR="003F19CF">
        <w:rPr>
          <w:rFonts w:cs="Times New Roman"/>
          <w:szCs w:val="28"/>
        </w:rPr>
        <w:t xml:space="preserve">ón, la </w:t>
      </w:r>
      <w:r w:rsidR="00A07F6E">
        <w:rPr>
          <w:rFonts w:cs="Times New Roman"/>
          <w:szCs w:val="28"/>
        </w:rPr>
        <w:t>Contralor</w:t>
      </w:r>
      <w:r w:rsidR="003F19CF">
        <w:rPr>
          <w:rFonts w:cs="Times New Roman"/>
          <w:szCs w:val="28"/>
        </w:rPr>
        <w:t>ía</w:t>
      </w:r>
      <w:r w:rsidR="00A07F6E">
        <w:rPr>
          <w:rFonts w:cs="Times New Roman"/>
          <w:szCs w:val="28"/>
        </w:rPr>
        <w:t xml:space="preserve"> General de </w:t>
      </w:r>
      <w:r w:rsidR="000F5DDE">
        <w:rPr>
          <w:rFonts w:cs="Times New Roman"/>
          <w:szCs w:val="28"/>
        </w:rPr>
        <w:t>la República</w:t>
      </w:r>
      <w:r w:rsidR="003F19CF">
        <w:rPr>
          <w:rFonts w:cs="Times New Roman"/>
          <w:szCs w:val="28"/>
        </w:rPr>
        <w:t xml:space="preserve"> y la Defensoría del Pueblo, que remitan a esta Sala Especial de Seguimiento, en un término no superior a un (1) mes</w:t>
      </w:r>
      <w:r w:rsidR="004D6FC3" w:rsidRPr="004D6FC3">
        <w:rPr>
          <w:rFonts w:cs="Times New Roman"/>
          <w:szCs w:val="28"/>
        </w:rPr>
        <w:t xml:space="preserve"> </w:t>
      </w:r>
      <w:r w:rsidR="004D6FC3">
        <w:rPr>
          <w:rFonts w:cs="Times New Roman"/>
          <w:szCs w:val="28"/>
        </w:rPr>
        <w:t>contado a partir de la notificación del presente Auto</w:t>
      </w:r>
      <w:r w:rsidR="003F19CF">
        <w:rPr>
          <w:rFonts w:cs="Times New Roman"/>
          <w:szCs w:val="28"/>
        </w:rPr>
        <w:t xml:space="preserve">, un pronunciamiento sobre el contenido del </w:t>
      </w:r>
      <w:r w:rsidR="004D6FC3">
        <w:rPr>
          <w:rFonts w:cs="Times New Roman"/>
          <w:szCs w:val="28"/>
        </w:rPr>
        <w:t>referido informe</w:t>
      </w:r>
      <w:r w:rsidR="003F19CF">
        <w:rPr>
          <w:rFonts w:cs="Times New Roman"/>
          <w:szCs w:val="28"/>
        </w:rPr>
        <w:t xml:space="preserve">. </w:t>
      </w:r>
    </w:p>
    <w:p w:rsidR="00A07F6E" w:rsidRDefault="00A07F6E" w:rsidP="00B627B9">
      <w:pPr>
        <w:ind w:right="57"/>
        <w:mirrorIndents/>
        <w:rPr>
          <w:rFonts w:cs="Times New Roman"/>
          <w:szCs w:val="28"/>
        </w:rPr>
      </w:pPr>
    </w:p>
    <w:p w:rsidR="00A07F6E" w:rsidRDefault="00A07F6E" w:rsidP="00B627B9">
      <w:pPr>
        <w:ind w:right="57"/>
        <w:mirrorIndents/>
        <w:rPr>
          <w:rFonts w:cs="Times New Roman"/>
          <w:szCs w:val="28"/>
        </w:rPr>
      </w:pPr>
      <w:r w:rsidRPr="000F5DDE">
        <w:rPr>
          <w:rFonts w:cs="Times New Roman"/>
          <w:b/>
          <w:szCs w:val="28"/>
        </w:rPr>
        <w:t>Tercero.</w:t>
      </w:r>
      <w:r w:rsidR="0085711D">
        <w:rPr>
          <w:rFonts w:cs="Times New Roman"/>
          <w:b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B83ED7">
        <w:rPr>
          <w:rFonts w:cs="Times New Roman"/>
          <w:b/>
          <w:szCs w:val="28"/>
        </w:rPr>
        <w:t>INVITAR</w:t>
      </w:r>
      <w:r w:rsidR="000F5DDE">
        <w:rPr>
          <w:rFonts w:cs="Times New Roman"/>
          <w:szCs w:val="28"/>
        </w:rPr>
        <w:t xml:space="preserve">, a través de la Secretaría General de esta Corporación a la Comisión de Seguimiento a la Política Pública sobre Desplazamiento Forzado, al Alto Comisionado de las Naciones Unidas para los Refugiados (ACNUR), al Alto Comisionado de las Naciones Unidas para los Derechos Humanos (OACNUDH) y al Consejo Noruego para los Refugiados (CNR) </w:t>
      </w:r>
      <w:r w:rsidR="004D6FC3">
        <w:rPr>
          <w:rFonts w:cs="Times New Roman"/>
          <w:szCs w:val="28"/>
        </w:rPr>
        <w:t xml:space="preserve">a que se pronuncien </w:t>
      </w:r>
      <w:r w:rsidR="00B83ED7">
        <w:rPr>
          <w:rFonts w:cs="Times New Roman"/>
          <w:szCs w:val="28"/>
        </w:rPr>
        <w:t>si</w:t>
      </w:r>
      <w:r w:rsidR="004D6FC3">
        <w:rPr>
          <w:rFonts w:cs="Times New Roman"/>
          <w:szCs w:val="28"/>
        </w:rPr>
        <w:t xml:space="preserve"> lo consider</w:t>
      </w:r>
      <w:r w:rsidR="00B83ED7">
        <w:rPr>
          <w:rFonts w:cs="Times New Roman"/>
          <w:szCs w:val="28"/>
        </w:rPr>
        <w:t>a</w:t>
      </w:r>
      <w:r w:rsidR="004D6FC3">
        <w:rPr>
          <w:rFonts w:cs="Times New Roman"/>
          <w:szCs w:val="28"/>
        </w:rPr>
        <w:t>n pertinente</w:t>
      </w:r>
      <w:r w:rsidR="0085711D">
        <w:rPr>
          <w:rFonts w:cs="Times New Roman"/>
          <w:szCs w:val="28"/>
        </w:rPr>
        <w:t>, en un término no superior a un (1) mes</w:t>
      </w:r>
      <w:r w:rsidR="0085711D" w:rsidRPr="004D6FC3">
        <w:rPr>
          <w:rFonts w:cs="Times New Roman"/>
          <w:szCs w:val="28"/>
        </w:rPr>
        <w:t xml:space="preserve"> </w:t>
      </w:r>
      <w:r w:rsidR="0085711D">
        <w:rPr>
          <w:rFonts w:cs="Times New Roman"/>
          <w:szCs w:val="28"/>
        </w:rPr>
        <w:t>contado a partir de la notificación del presente.</w:t>
      </w:r>
      <w:r w:rsidR="004D6FC3">
        <w:rPr>
          <w:rFonts w:cs="Times New Roman"/>
          <w:szCs w:val="28"/>
        </w:rPr>
        <w:t xml:space="preserve"> </w:t>
      </w:r>
    </w:p>
    <w:p w:rsidR="0013442E" w:rsidRDefault="0013442E" w:rsidP="00B627B9">
      <w:pPr>
        <w:ind w:right="57"/>
        <w:mirrorIndents/>
        <w:rPr>
          <w:rFonts w:cs="Times New Roman"/>
          <w:szCs w:val="28"/>
        </w:rPr>
      </w:pPr>
    </w:p>
    <w:p w:rsidR="00B627B9" w:rsidRPr="00B627B9" w:rsidRDefault="00B627B9" w:rsidP="00B627B9">
      <w:pPr>
        <w:ind w:right="57"/>
        <w:mirrorIndents/>
        <w:jc w:val="left"/>
        <w:rPr>
          <w:rFonts w:eastAsia="Times New Roman" w:cs="Times New Roman"/>
          <w:color w:val="0D0D0D" w:themeColor="text1" w:themeTint="F2"/>
          <w:szCs w:val="28"/>
          <w:lang w:eastAsia="es-ES"/>
        </w:rPr>
      </w:pPr>
    </w:p>
    <w:p w:rsidR="00B627B9" w:rsidRPr="00B627B9" w:rsidRDefault="003F19CF" w:rsidP="00B627B9">
      <w:pPr>
        <w:ind w:right="57"/>
        <w:mirrorIndents/>
        <w:jc w:val="left"/>
        <w:rPr>
          <w:rFonts w:eastAsia="Times New Roman" w:cs="Times New Roman"/>
          <w:color w:val="0D0D0D" w:themeColor="text1" w:themeTint="F2"/>
          <w:szCs w:val="28"/>
          <w:lang w:eastAsia="es-ES"/>
        </w:rPr>
      </w:pPr>
      <w:r>
        <w:rPr>
          <w:rFonts w:eastAsia="Times New Roman" w:cs="Times New Roman"/>
          <w:color w:val="0D0D0D" w:themeColor="text1" w:themeTint="F2"/>
          <w:szCs w:val="28"/>
          <w:lang w:eastAsia="es-ES"/>
        </w:rPr>
        <w:t>Notifíquese y c</w:t>
      </w:r>
      <w:r w:rsidR="00B627B9" w:rsidRPr="00B627B9">
        <w:rPr>
          <w:rFonts w:eastAsia="Times New Roman" w:cs="Times New Roman"/>
          <w:color w:val="0D0D0D" w:themeColor="text1" w:themeTint="F2"/>
          <w:szCs w:val="28"/>
          <w:lang w:eastAsia="es-ES"/>
        </w:rPr>
        <w:t>úmplase,</w:t>
      </w:r>
    </w:p>
    <w:p w:rsidR="00B627B9" w:rsidRPr="00B627B9" w:rsidRDefault="00B627B9" w:rsidP="00B627B9">
      <w:pPr>
        <w:ind w:right="57"/>
        <w:mirrorIndents/>
        <w:jc w:val="center"/>
        <w:rPr>
          <w:rFonts w:eastAsia="Times New Roman" w:cs="Times New Roman"/>
          <w:color w:val="0D0D0D" w:themeColor="text1" w:themeTint="F2"/>
          <w:szCs w:val="28"/>
          <w:lang w:eastAsia="es-ES"/>
        </w:rPr>
      </w:pPr>
    </w:p>
    <w:p w:rsidR="00B627B9" w:rsidRPr="00B627B9" w:rsidRDefault="00B627B9" w:rsidP="00B627B9">
      <w:pPr>
        <w:pStyle w:val="Prrafodelista"/>
        <w:spacing w:line="240" w:lineRule="auto"/>
        <w:ind w:left="0"/>
        <w:rPr>
          <w:szCs w:val="28"/>
        </w:rPr>
      </w:pPr>
    </w:p>
    <w:p w:rsidR="00B627B9" w:rsidRPr="00B627B9" w:rsidRDefault="00B627B9" w:rsidP="00B627B9">
      <w:pPr>
        <w:pStyle w:val="Prrafodelista"/>
        <w:spacing w:line="240" w:lineRule="auto"/>
        <w:ind w:left="0"/>
        <w:rPr>
          <w:szCs w:val="28"/>
        </w:rPr>
      </w:pPr>
    </w:p>
    <w:p w:rsidR="00B627B9" w:rsidRPr="00B627B9" w:rsidRDefault="00B627B9" w:rsidP="00B627B9">
      <w:pPr>
        <w:ind w:right="57"/>
        <w:mirrorIndents/>
        <w:jc w:val="center"/>
        <w:rPr>
          <w:rFonts w:eastAsia="Times New Roman" w:cs="Times New Roman"/>
          <w:color w:val="0D0D0D" w:themeColor="text1" w:themeTint="F2"/>
          <w:szCs w:val="28"/>
          <w:lang w:eastAsia="es-ES"/>
        </w:rPr>
      </w:pPr>
      <w:r w:rsidRPr="00B627B9">
        <w:rPr>
          <w:rFonts w:eastAsia="Times New Roman" w:cs="Times New Roman"/>
          <w:b/>
          <w:szCs w:val="28"/>
          <w:lang w:val="es-CO" w:eastAsia="es-ES"/>
        </w:rPr>
        <w:t>GLORIA STELLA ORTIZ DELGADO</w:t>
      </w:r>
    </w:p>
    <w:p w:rsidR="00B627B9" w:rsidRPr="00B627B9" w:rsidRDefault="00B627B9" w:rsidP="00B627B9">
      <w:pPr>
        <w:ind w:right="57"/>
        <w:mirrorIndents/>
        <w:jc w:val="center"/>
        <w:rPr>
          <w:rFonts w:eastAsia="Times New Roman" w:cs="Times New Roman"/>
          <w:szCs w:val="28"/>
          <w:lang w:val="es-CO" w:eastAsia="es-ES"/>
        </w:rPr>
      </w:pPr>
      <w:r w:rsidRPr="00B627B9">
        <w:rPr>
          <w:rFonts w:eastAsia="Times New Roman" w:cs="Times New Roman"/>
          <w:szCs w:val="28"/>
          <w:lang w:val="es-CO" w:eastAsia="es-ES"/>
        </w:rPr>
        <w:t xml:space="preserve">Magistrada Presidenta  </w:t>
      </w:r>
    </w:p>
    <w:p w:rsidR="00B627B9" w:rsidRPr="00B627B9" w:rsidRDefault="00B627B9" w:rsidP="00B627B9">
      <w:pPr>
        <w:jc w:val="center"/>
        <w:rPr>
          <w:rFonts w:eastAsia="Calibri" w:cs="Times New Roman"/>
          <w:szCs w:val="28"/>
        </w:rPr>
      </w:pPr>
      <w:r w:rsidRPr="00B627B9">
        <w:rPr>
          <w:rFonts w:eastAsia="Calibri" w:cs="Times New Roman"/>
          <w:szCs w:val="28"/>
        </w:rPr>
        <w:t xml:space="preserve">Sala Especial de Seguimiento Sentencia T-025 De 2004 </w:t>
      </w:r>
    </w:p>
    <w:p w:rsidR="00B627B9" w:rsidRPr="00B627B9" w:rsidRDefault="00B627B9" w:rsidP="00B627B9">
      <w:pPr>
        <w:jc w:val="center"/>
        <w:rPr>
          <w:rFonts w:eastAsia="Calibri" w:cs="Times New Roman"/>
          <w:szCs w:val="28"/>
        </w:rPr>
      </w:pPr>
    </w:p>
    <w:p w:rsidR="00B627B9" w:rsidRPr="00B627B9" w:rsidRDefault="00B627B9" w:rsidP="00B627B9">
      <w:pPr>
        <w:jc w:val="center"/>
        <w:rPr>
          <w:rFonts w:eastAsia="Calibri" w:cs="Times New Roman"/>
          <w:szCs w:val="28"/>
        </w:rPr>
      </w:pPr>
    </w:p>
    <w:p w:rsidR="00B627B9" w:rsidRPr="00B627B9" w:rsidRDefault="00B627B9" w:rsidP="00B627B9">
      <w:pPr>
        <w:jc w:val="center"/>
        <w:rPr>
          <w:rFonts w:eastAsia="Calibri" w:cs="Times New Roman"/>
          <w:szCs w:val="28"/>
        </w:rPr>
      </w:pPr>
    </w:p>
    <w:p w:rsidR="00B627B9" w:rsidRPr="00B627B9" w:rsidRDefault="00B627B9" w:rsidP="00B627B9">
      <w:pPr>
        <w:jc w:val="center"/>
        <w:rPr>
          <w:rFonts w:eastAsia="Calibri" w:cs="Times New Roman"/>
          <w:szCs w:val="28"/>
        </w:rPr>
      </w:pPr>
    </w:p>
    <w:p w:rsidR="00B627B9" w:rsidRPr="00B627B9" w:rsidRDefault="003F19CF" w:rsidP="00B627B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MARTHA VICTORIA SÁCHICA MÉNDEZ </w:t>
      </w:r>
    </w:p>
    <w:p w:rsidR="00B627B9" w:rsidRPr="00B627B9" w:rsidRDefault="00B627B9" w:rsidP="00B627B9">
      <w:pPr>
        <w:jc w:val="center"/>
        <w:rPr>
          <w:szCs w:val="28"/>
        </w:rPr>
      </w:pPr>
      <w:r w:rsidRPr="00B627B9">
        <w:rPr>
          <w:rFonts w:cs="Times New Roman"/>
          <w:szCs w:val="28"/>
        </w:rPr>
        <w:t xml:space="preserve">Secretaria General </w:t>
      </w:r>
    </w:p>
    <w:p w:rsidR="00B627B9" w:rsidRPr="00B627B9" w:rsidRDefault="00B627B9" w:rsidP="00B627B9">
      <w:pPr>
        <w:pStyle w:val="Prrafodelista"/>
        <w:spacing w:line="240" w:lineRule="auto"/>
        <w:ind w:left="0"/>
        <w:rPr>
          <w:szCs w:val="28"/>
        </w:rPr>
      </w:pPr>
    </w:p>
    <w:p w:rsidR="00DC012E" w:rsidRPr="00B627B9" w:rsidRDefault="00DC012E">
      <w:pPr>
        <w:rPr>
          <w:szCs w:val="28"/>
        </w:rPr>
      </w:pPr>
    </w:p>
    <w:sectPr w:rsidR="00DC012E" w:rsidRPr="00B627B9" w:rsidSect="00700020">
      <w:headerReference w:type="default" r:id="rId9"/>
      <w:footerReference w:type="default" r:id="rId10"/>
      <w:headerReference w:type="first" r:id="rId11"/>
      <w:pgSz w:w="12240" w:h="18720" w:code="14"/>
      <w:pgMar w:top="1417" w:right="1701" w:bottom="141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E6" w:rsidRDefault="00C56AE6" w:rsidP="00B627B9">
      <w:r>
        <w:separator/>
      </w:r>
    </w:p>
  </w:endnote>
  <w:endnote w:type="continuationSeparator" w:id="0">
    <w:p w:rsidR="00C56AE6" w:rsidRDefault="00C56AE6" w:rsidP="00B6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73403"/>
      <w:docPartObj>
        <w:docPartGallery w:val="Page Numbers (Bottom of Page)"/>
        <w:docPartUnique/>
      </w:docPartObj>
    </w:sdtPr>
    <w:sdtEndPr/>
    <w:sdtContent>
      <w:p w:rsidR="0093769B" w:rsidRDefault="00A839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8B4">
          <w:rPr>
            <w:noProof/>
          </w:rPr>
          <w:t>3</w:t>
        </w:r>
        <w:r>
          <w:fldChar w:fldCharType="end"/>
        </w:r>
      </w:p>
    </w:sdtContent>
  </w:sdt>
  <w:p w:rsidR="0093769B" w:rsidRDefault="00DE48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E6" w:rsidRDefault="00C56AE6" w:rsidP="00B627B9">
      <w:r>
        <w:separator/>
      </w:r>
    </w:p>
  </w:footnote>
  <w:footnote w:type="continuationSeparator" w:id="0">
    <w:p w:rsidR="00C56AE6" w:rsidRDefault="00C56AE6" w:rsidP="00B627B9">
      <w:r>
        <w:continuationSeparator/>
      </w:r>
    </w:p>
  </w:footnote>
  <w:footnote w:id="1">
    <w:p w:rsidR="00B627B9" w:rsidRPr="00F46107" w:rsidRDefault="00B627B9" w:rsidP="00B627B9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Orden primera, numeral (ii) del </w:t>
      </w:r>
      <w:r>
        <w:rPr>
          <w:lang w:val="es-CO"/>
        </w:rPr>
        <w:t xml:space="preserve">Auto del 11 de marzo de 2014. </w:t>
      </w:r>
    </w:p>
  </w:footnote>
  <w:footnote w:id="2">
    <w:p w:rsidR="00B627B9" w:rsidRPr="00862AF5" w:rsidRDefault="00B627B9" w:rsidP="00B627B9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862AF5">
        <w:t>(ii) un informe detallado y completo acerca de los avances, estancamientos y retrocesos en la implementación de las órdenes emitidas por la Corte Constitucional en materia de desplazamiento forzado, en cada uno de los componentes de la política pública y el impacto de las medidas adoptadas para la garantía del goce efectivo de los derec</w:t>
      </w:r>
      <w:r>
        <w:t xml:space="preserve">hos de la población desplazada. </w:t>
      </w:r>
      <w:r w:rsidRPr="00862AF5">
        <w:t>Dicho informe, deberá ser allegado ante la Sala Especial de Seguimiento a la sentencia T-025 de 2004, en medio físico y magnético, los primeros cinco (5) días del mes de julio de cada año, a partir de la notificación de esta providencia”.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69" w:rsidRPr="004B780B" w:rsidRDefault="00A8391D" w:rsidP="00AA1969">
    <w:pPr>
      <w:pStyle w:val="Encabezado"/>
      <w:jc w:val="right"/>
      <w:rPr>
        <w:i/>
        <w:sz w:val="20"/>
      </w:rPr>
    </w:pPr>
    <w:r w:rsidRPr="004B780B">
      <w:rPr>
        <w:i/>
        <w:sz w:val="20"/>
      </w:rPr>
      <w:t xml:space="preserve">Sala Especial de Seguimiento Sentencia T-025 de 2004 </w:t>
    </w:r>
  </w:p>
  <w:p w:rsidR="00AA1969" w:rsidRPr="004B780B" w:rsidRDefault="00A8391D" w:rsidP="00AA1969">
    <w:pPr>
      <w:pStyle w:val="Encabezado"/>
      <w:jc w:val="right"/>
      <w:rPr>
        <w:i/>
        <w:sz w:val="20"/>
      </w:rPr>
    </w:pPr>
    <w:r w:rsidRPr="004B780B">
      <w:rPr>
        <w:i/>
        <w:sz w:val="20"/>
      </w:rPr>
      <w:t>M.P. Gloria Stella Ortiz Delgado</w:t>
    </w:r>
  </w:p>
  <w:p w:rsidR="00AA1969" w:rsidRDefault="00DE48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AA" w:rsidRPr="00AC4989" w:rsidRDefault="00A8391D" w:rsidP="008015AA">
    <w:pPr>
      <w:tabs>
        <w:tab w:val="center" w:pos="4252"/>
        <w:tab w:val="right" w:pos="8504"/>
      </w:tabs>
      <w:jc w:val="right"/>
      <w:rPr>
        <w:rFonts w:cs="Calibri"/>
        <w:i/>
        <w:color w:val="000000"/>
        <w:sz w:val="20"/>
        <w:szCs w:val="20"/>
      </w:rPr>
    </w:pPr>
    <w:r w:rsidRPr="00AC4989">
      <w:rPr>
        <w:rFonts w:cs="Calibri"/>
        <w:i/>
        <w:color w:val="000000"/>
        <w:sz w:val="20"/>
        <w:szCs w:val="20"/>
      </w:rPr>
      <w:t xml:space="preserve">Sala Especial de Seguimiento Sentencia T-025 de 2004 </w:t>
    </w:r>
  </w:p>
  <w:p w:rsidR="008015AA" w:rsidRPr="00AC4989" w:rsidRDefault="00A8391D" w:rsidP="008015AA">
    <w:pPr>
      <w:tabs>
        <w:tab w:val="center" w:pos="4252"/>
        <w:tab w:val="right" w:pos="8504"/>
      </w:tabs>
      <w:jc w:val="right"/>
      <w:rPr>
        <w:rFonts w:cs="Calibri"/>
        <w:i/>
        <w:color w:val="000000"/>
        <w:sz w:val="20"/>
        <w:szCs w:val="20"/>
      </w:rPr>
    </w:pPr>
    <w:r w:rsidRPr="00AC4989">
      <w:rPr>
        <w:rFonts w:cs="Calibri"/>
        <w:i/>
        <w:color w:val="000000"/>
        <w:sz w:val="20"/>
        <w:szCs w:val="20"/>
      </w:rPr>
      <w:t>M.P. Gloria Stella Ortiz Delgado</w:t>
    </w:r>
  </w:p>
  <w:p w:rsidR="008015AA" w:rsidRPr="008015AA" w:rsidRDefault="00DE48B4" w:rsidP="008015AA">
    <w:pPr>
      <w:pStyle w:val="Encabezado"/>
      <w:jc w:val="right"/>
      <w:rPr>
        <w:sz w:val="20"/>
      </w:rPr>
    </w:pPr>
  </w:p>
  <w:p w:rsidR="008015AA" w:rsidRDefault="00DE48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40591"/>
    <w:multiLevelType w:val="hybridMultilevel"/>
    <w:tmpl w:val="3A0E85CA"/>
    <w:lvl w:ilvl="0" w:tplc="31447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9"/>
    <w:rsid w:val="00015583"/>
    <w:rsid w:val="000F5DDE"/>
    <w:rsid w:val="0013182B"/>
    <w:rsid w:val="0013442E"/>
    <w:rsid w:val="003077FD"/>
    <w:rsid w:val="003F19CF"/>
    <w:rsid w:val="00455379"/>
    <w:rsid w:val="004D6FC3"/>
    <w:rsid w:val="00576543"/>
    <w:rsid w:val="006447E9"/>
    <w:rsid w:val="00702E83"/>
    <w:rsid w:val="0085711D"/>
    <w:rsid w:val="00935F46"/>
    <w:rsid w:val="00943CB8"/>
    <w:rsid w:val="00986B80"/>
    <w:rsid w:val="00A07F6E"/>
    <w:rsid w:val="00A8391D"/>
    <w:rsid w:val="00B627B9"/>
    <w:rsid w:val="00B83ED7"/>
    <w:rsid w:val="00C56AE6"/>
    <w:rsid w:val="00CB00E0"/>
    <w:rsid w:val="00CE57C2"/>
    <w:rsid w:val="00D37DB1"/>
    <w:rsid w:val="00D75611"/>
    <w:rsid w:val="00DC012E"/>
    <w:rsid w:val="00DE48B4"/>
    <w:rsid w:val="00E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F5E13C7C-DD7F-44F2-9F5B-BF4CB36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B9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7B9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627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27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627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627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7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7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7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8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8B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Paola Castro Villareal</dc:creator>
  <cp:keywords/>
  <dc:description/>
  <cp:lastModifiedBy>Adonorem T025</cp:lastModifiedBy>
  <cp:revision>5</cp:revision>
  <cp:lastPrinted>2018-08-14T15:44:00Z</cp:lastPrinted>
  <dcterms:created xsi:type="dcterms:W3CDTF">2018-08-09T15:47:00Z</dcterms:created>
  <dcterms:modified xsi:type="dcterms:W3CDTF">2018-08-14T15:44:00Z</dcterms:modified>
</cp:coreProperties>
</file>